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EC" w:rsidRPr="00C61041" w:rsidRDefault="00D243EC" w:rsidP="00D243EC">
      <w:pPr>
        <w:pStyle w:val="3"/>
        <w:numPr>
          <w:ilvl w:val="0"/>
          <w:numId w:val="0"/>
        </w:numPr>
        <w:ind w:left="720" w:hanging="720"/>
      </w:pPr>
      <w:bookmarkStart w:id="0" w:name="_Toc67664572"/>
      <w:r>
        <w:rPr>
          <w:rFonts w:ascii="宋体" w:hAnsi="宋体" w:hint="eastAsia"/>
          <w:snapToGrid w:val="0"/>
        </w:rPr>
        <w:t>2021年度</w:t>
      </w:r>
      <w:r>
        <w:rPr>
          <w:rFonts w:hint="eastAsia"/>
        </w:rPr>
        <w:t>空调采购项目</w:t>
      </w:r>
      <w:r w:rsidRPr="00C61041">
        <w:t>招标公告</w:t>
      </w:r>
      <w:bookmarkEnd w:id="0"/>
    </w:p>
    <w:p w:rsidR="00D243EC" w:rsidRPr="00C61041" w:rsidRDefault="00D243EC" w:rsidP="00D243EC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EF423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2021年度空调采购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项目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D243EC" w:rsidRPr="00C61041" w:rsidRDefault="00D243EC" w:rsidP="00D243E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027</w:t>
      </w:r>
    </w:p>
    <w:p w:rsidR="00D243EC" w:rsidRPr="00C61041" w:rsidRDefault="00D243EC" w:rsidP="00D243EC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空调采购项目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D243EC" w:rsidRPr="00C61041" w:rsidRDefault="00D243EC" w:rsidP="00D243E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D243EC" w:rsidRDefault="00D243EC" w:rsidP="00D243EC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本次空调采购</w:t>
      </w:r>
      <w:r w:rsidRPr="00E44CB0">
        <w:rPr>
          <w:rFonts w:ascii="宋体" w:hAnsi="宋体" w:hint="eastAsia"/>
          <w:color w:val="000000"/>
          <w:sz w:val="21"/>
          <w:szCs w:val="21"/>
        </w:rPr>
        <w:t>项目</w:t>
      </w:r>
      <w:r>
        <w:rPr>
          <w:rFonts w:ascii="宋体" w:hAnsi="宋体" w:hint="eastAsia"/>
          <w:color w:val="000000"/>
          <w:sz w:val="21"/>
          <w:szCs w:val="21"/>
        </w:rPr>
        <w:t>是就公司部分房屋单体及部分设备用空调进行公开招标，根据投标人的报价进行比较，与投标总价最低的投标人签订年度采购合同，根据订单分批供货。</w:t>
      </w:r>
    </w:p>
    <w:p w:rsidR="00D243EC" w:rsidRDefault="00D243EC" w:rsidP="00D243EC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★投标保证金：2000元。</w:t>
      </w:r>
    </w:p>
    <w:p w:rsidR="00D243EC" w:rsidRDefault="00D243EC" w:rsidP="00D243EC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招标控制价：25万元（含税），超出控制价无效。</w:t>
      </w:r>
    </w:p>
    <w:p w:rsidR="00D243EC" w:rsidRPr="00C61041" w:rsidRDefault="00D243EC" w:rsidP="00D243EC">
      <w:pPr>
        <w:adjustRightInd w:val="0"/>
        <w:snapToGrid w:val="0"/>
        <w:spacing w:beforeLines="50" w:line="312" w:lineRule="auto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1.1具有独立承担民事责任的能力；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1.2有依法缴纳税收和社会保障基金的良好记录；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1.3经营活动前三年内，在经营活动中没有重大违法记录；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1.4具有空调品牌代理资质或经销资质，并具备空调安装能力。</w:t>
      </w:r>
    </w:p>
    <w:p w:rsidR="00D243EC" w:rsidRPr="00645433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b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 w:val="21"/>
          <w:szCs w:val="21"/>
        </w:rPr>
        <w:t>2、投标人应当具备以下特殊条件：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2.1</w:t>
      </w:r>
      <w:r>
        <w:rPr>
          <w:rFonts w:ascii="宋体" w:hAnsi="宋体" w:cs="宋体" w:hint="eastAsia"/>
          <w:sz w:val="21"/>
          <w:szCs w:val="21"/>
        </w:rPr>
        <w:t>本项目不接受联合体投标和分包转包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。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3、投标申请人有以下情形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的，不具备投标资格：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3.1处于被责令停业、投标资格被取消或者财产被接管、冻结和破产状态；</w:t>
      </w:r>
    </w:p>
    <w:p w:rsidR="00D243EC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3.2企业因骗取中标或者严重违约以及发生重大质量、安全生产事故等问题，被有关部门暂停投标资格并在暂停期内的；</w:t>
      </w:r>
    </w:p>
    <w:p w:rsidR="00D243EC" w:rsidRPr="00456098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3.3报名申请书中的重要内容失实或者弄虚作假。</w:t>
      </w:r>
    </w:p>
    <w:p w:rsidR="00D243EC" w:rsidRPr="00C61041" w:rsidRDefault="00D243EC" w:rsidP="00D243E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D243EC" w:rsidRPr="00C61041" w:rsidRDefault="00D243EC" w:rsidP="00D243E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D243EC" w:rsidRPr="00980D37" w:rsidRDefault="00D243EC" w:rsidP="00D243EC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两种报名形式可任选一种</w:t>
      </w:r>
    </w:p>
    <w:p w:rsidR="00D243EC" w:rsidRPr="00980D37" w:rsidRDefault="00D243EC" w:rsidP="00D243EC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lastRenderedPageBreak/>
        <w:t>1.电子报名：请于2021年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6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24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日起至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6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3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0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日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下午16：00时前，以电子邮件方式发送到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tingting</w:t>
      </w:r>
      <w:r w:rsidRPr="00980D37">
        <w:rPr>
          <w:rFonts w:ascii="宋体" w:hAnsi="宋体" w:cs="宋体"/>
          <w:color w:val="000000"/>
          <w:kern w:val="0"/>
          <w:sz w:val="21"/>
          <w:szCs w:val="21"/>
          <w:u w:val="single"/>
        </w:rPr>
        <w:t>@suzhouterminals.com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进行报名。电子招标文件将以邮件的方式进行发送。</w:t>
      </w:r>
    </w:p>
    <w:p w:rsidR="00D243EC" w:rsidRPr="00980D37" w:rsidRDefault="00D243EC" w:rsidP="00D243EC">
      <w:pPr>
        <w:adjustRightInd w:val="0"/>
        <w:snapToGrid w:val="0"/>
        <w:spacing w:afterLines="50" w:line="312" w:lineRule="auto"/>
        <w:ind w:leftChars="152" w:left="426"/>
        <w:rPr>
          <w:rFonts w:ascii="宋体" w:hAnsi="宋体" w:cs="宋体"/>
          <w:color w:val="000000"/>
          <w:kern w:val="0"/>
          <w:sz w:val="21"/>
          <w:szCs w:val="21"/>
          <w:shd w:val="clear" w:color="auto" w:fill="FFFFFF"/>
        </w:rPr>
      </w:pP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2．现场报名。请于2021年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6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24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日起至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6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30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日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下午16：00时前至苏州现代货箱码头有限公司采购</w:t>
      </w:r>
      <w:proofErr w:type="gramStart"/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部现场</w:t>
      </w:r>
      <w:proofErr w:type="gramEnd"/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报名。</w:t>
      </w:r>
    </w:p>
    <w:p w:rsidR="00D243EC" w:rsidRPr="00C61041" w:rsidRDefault="00D243EC" w:rsidP="00D243E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D243EC" w:rsidRPr="00C61041" w:rsidRDefault="00D243EC" w:rsidP="00D243E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薛婷婷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3256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5" w:history="1">
        <w:r w:rsidRPr="00256C58">
          <w:rPr>
            <w:rStyle w:val="a4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tingting@suzhouterminals.com</w:t>
        </w:r>
      </w:hyperlink>
    </w:p>
    <w:p w:rsidR="00D243EC" w:rsidRPr="00C61041" w:rsidRDefault="00D243EC" w:rsidP="00D243E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投标人领取标书时应提交的资料如下：①法定代表人授权书；②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有效的企业营业执照复印件加盖公章。</w:t>
      </w:r>
    </w:p>
    <w:p w:rsidR="00AE04CD" w:rsidRPr="00D243EC" w:rsidRDefault="00AE04CD"/>
    <w:sectPr w:rsidR="00AE04CD" w:rsidRPr="00D243EC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3EC"/>
    <w:rsid w:val="004E6592"/>
    <w:rsid w:val="00AE04CD"/>
    <w:rsid w:val="00D2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EC"/>
    <w:pPr>
      <w:widowControl w:val="0"/>
      <w:jc w:val="both"/>
    </w:pPr>
    <w:rPr>
      <w:rFonts w:ascii="Times New Roman" w:eastAsia="宋体" w:hAnsi="Times New Roman"/>
      <w:color w:val="auto"/>
      <w:sz w:val="28"/>
      <w:szCs w:val="24"/>
    </w:rPr>
  </w:style>
  <w:style w:type="paragraph" w:styleId="3">
    <w:name w:val="heading 3"/>
    <w:basedOn w:val="a"/>
    <w:next w:val="a0"/>
    <w:link w:val="3Char"/>
    <w:qFormat/>
    <w:rsid w:val="00D243EC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D243EC"/>
    <w:rPr>
      <w:rFonts w:ascii="Times New Roman" w:eastAsia="宋体" w:hAnsi="Times New Roman"/>
      <w:b/>
      <w:color w:val="auto"/>
      <w:kern w:val="0"/>
      <w:sz w:val="32"/>
      <w:szCs w:val="20"/>
    </w:rPr>
  </w:style>
  <w:style w:type="character" w:styleId="a4">
    <w:name w:val="Hyperlink"/>
    <w:uiPriority w:val="99"/>
    <w:unhideWhenUsed/>
    <w:rsid w:val="00D243EC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D243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gting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2021-06-24T01:40:00Z</dcterms:created>
  <dcterms:modified xsi:type="dcterms:W3CDTF">2021-06-24T01:41:00Z</dcterms:modified>
</cp:coreProperties>
</file>